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E2624" w14:textId="77777777" w:rsidR="003B40F2" w:rsidRPr="003B40F2" w:rsidRDefault="007B36D0" w:rsidP="003B40F2">
      <w:pPr>
        <w:jc w:val="right"/>
        <w:rPr>
          <w:rFonts w:ascii="Open Sans" w:hAnsi="Open Sans" w:cs="Open Sans"/>
          <w:b/>
          <w:bCs/>
          <w:lang w:val="en-GB"/>
        </w:rPr>
      </w:pPr>
      <w:r w:rsidRPr="003B40F2">
        <w:rPr>
          <w:rFonts w:ascii="Open Sans" w:hAnsi="Open Sans" w:cs="Open Sans"/>
          <w:b/>
          <w:bCs/>
          <w:lang w:val="en-GB"/>
        </w:rPr>
        <w:t xml:space="preserve">Annex C </w:t>
      </w:r>
    </w:p>
    <w:p w14:paraId="000E9F6E" w14:textId="106BC30A" w:rsidR="007B36D0" w:rsidRPr="003B40F2" w:rsidRDefault="007B36D0" w:rsidP="003B40F2">
      <w:pPr>
        <w:jc w:val="center"/>
        <w:rPr>
          <w:rFonts w:ascii="Open Sans" w:hAnsi="Open Sans" w:cs="Open Sans"/>
          <w:b/>
          <w:bCs/>
          <w:lang w:val="en-GB"/>
        </w:rPr>
      </w:pPr>
      <w:r w:rsidRPr="003B40F2">
        <w:rPr>
          <w:rFonts w:ascii="Open Sans" w:hAnsi="Open Sans" w:cs="Open Sans"/>
          <w:b/>
          <w:bCs/>
          <w:sz w:val="24"/>
          <w:szCs w:val="24"/>
          <w:lang w:val="en-GB"/>
        </w:rPr>
        <w:t>Guidelines to avoid State Aid incidence</w:t>
      </w:r>
    </w:p>
    <w:tbl>
      <w:tblPr>
        <w:tblStyle w:val="TableGrid"/>
        <w:tblW w:w="1026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710"/>
        <w:gridCol w:w="8550"/>
      </w:tblGrid>
      <w:tr w:rsidR="007B36D0" w:rsidRPr="003B40F2" w14:paraId="3F6B3389" w14:textId="77777777" w:rsidTr="003B40F2"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4C06FF66" w14:textId="77777777" w:rsidR="007B36D0" w:rsidRPr="003B40F2" w:rsidRDefault="007B36D0" w:rsidP="00AA53A6">
            <w:pPr>
              <w:pStyle w:val="ListParagraph"/>
              <w:spacing w:line="276" w:lineRule="auto"/>
              <w:ind w:left="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Examples of activities</w:t>
            </w:r>
          </w:p>
        </w:tc>
        <w:tc>
          <w:tcPr>
            <w:tcW w:w="8550" w:type="dxa"/>
            <w:shd w:val="clear" w:color="auto" w:fill="D9D9D9" w:themeFill="background1" w:themeFillShade="D9"/>
          </w:tcPr>
          <w:p w14:paraId="4380CDFD" w14:textId="77777777" w:rsidR="007B36D0" w:rsidRPr="003B40F2" w:rsidRDefault="007B36D0" w:rsidP="00AA53A6">
            <w:pPr>
              <w:pStyle w:val="ListParagraph"/>
              <w:spacing w:line="276" w:lineRule="auto"/>
              <w:ind w:left="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Recommendations to avoid State Aid incidence</w:t>
            </w:r>
          </w:p>
        </w:tc>
      </w:tr>
      <w:tr w:rsidR="007B36D0" w:rsidRPr="003B40F2" w14:paraId="03349FD3" w14:textId="77777777" w:rsidTr="003B40F2">
        <w:tc>
          <w:tcPr>
            <w:tcW w:w="1710" w:type="dxa"/>
            <w:vAlign w:val="center"/>
          </w:tcPr>
          <w:p w14:paraId="0EA4D355" w14:textId="77777777" w:rsidR="007B36D0" w:rsidRPr="003B40F2" w:rsidRDefault="007B36D0" w:rsidP="00AA53A6">
            <w:pPr>
              <w:spacing w:line="276" w:lineRule="auto"/>
              <w:rPr>
                <w:rFonts w:ascii="Open Sans" w:eastAsia="Calibri" w:hAnsi="Open Sans" w:cs="Open Sans"/>
                <w:sz w:val="20"/>
                <w:szCs w:val="20"/>
                <w:lang w:val="en-GB" w:eastAsia="en-US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Organizing events</w:t>
            </w:r>
          </w:p>
        </w:tc>
        <w:tc>
          <w:tcPr>
            <w:tcW w:w="8550" w:type="dxa"/>
          </w:tcPr>
          <w:p w14:paraId="644C1F12" w14:textId="77777777" w:rsidR="007B36D0" w:rsidRPr="003B40F2" w:rsidRDefault="007B36D0" w:rsidP="003B40F2">
            <w:pPr>
              <w:spacing w:line="276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eastAsia="Calibri" w:hAnsi="Open Sans" w:cs="Open Sans"/>
                <w:sz w:val="20"/>
                <w:szCs w:val="20"/>
                <w:lang w:val="en-GB"/>
              </w:rPr>
              <w:t>NO participation fees for participants;</w:t>
            </w:r>
          </w:p>
          <w:p w14:paraId="5750E269" w14:textId="77777777" w:rsidR="007B36D0" w:rsidRPr="003B40F2" w:rsidRDefault="007B36D0" w:rsidP="003B40F2">
            <w:pPr>
              <w:spacing w:line="276" w:lineRule="auto"/>
              <w:rPr>
                <w:rFonts w:ascii="Open Sans" w:eastAsia="Calibri" w:hAnsi="Open Sans" w:cs="Open Sans"/>
                <w:sz w:val="20"/>
                <w:szCs w:val="20"/>
                <w:lang w:val="en-GB" w:eastAsia="en-US"/>
              </w:rPr>
            </w:pPr>
            <w:r w:rsidRPr="003B40F2">
              <w:rPr>
                <w:rFonts w:ascii="Open Sans" w:eastAsia="Calibri" w:hAnsi="Open Sans" w:cs="Open Sans"/>
                <w:sz w:val="20"/>
                <w:szCs w:val="20"/>
                <w:lang w:val="en-GB" w:eastAsia="en-US"/>
              </w:rPr>
              <w:t xml:space="preserve">NO sale of products is allowed; </w:t>
            </w:r>
          </w:p>
          <w:p w14:paraId="550AAD0F" w14:textId="77777777" w:rsidR="007B36D0" w:rsidRPr="003B40F2" w:rsidRDefault="007B36D0" w:rsidP="003B40F2">
            <w:pPr>
              <w:spacing w:line="276" w:lineRule="auto"/>
              <w:rPr>
                <w:rFonts w:ascii="Open Sans" w:eastAsia="Calibri" w:hAnsi="Open Sans" w:cs="Open Sans"/>
                <w:sz w:val="20"/>
                <w:szCs w:val="20"/>
                <w:lang w:val="en-GB" w:eastAsia="en-US"/>
              </w:rPr>
            </w:pPr>
            <w:r w:rsidRPr="003B40F2">
              <w:rPr>
                <w:rFonts w:ascii="Open Sans" w:eastAsia="Calibri" w:hAnsi="Open Sans" w:cs="Open Sans"/>
                <w:sz w:val="20"/>
                <w:szCs w:val="20"/>
                <w:lang w:val="en-GB" w:eastAsia="en-US"/>
              </w:rPr>
              <w:t>NO commercial activities are to be supported by the project;</w:t>
            </w:r>
          </w:p>
          <w:p w14:paraId="159E0D44" w14:textId="77777777" w:rsidR="007B36D0" w:rsidRPr="003B40F2" w:rsidRDefault="007B36D0" w:rsidP="003B40F2">
            <w:pPr>
              <w:spacing w:line="276" w:lineRule="auto"/>
              <w:rPr>
                <w:rFonts w:ascii="Open Sans" w:eastAsia="Calibri" w:hAnsi="Open Sans" w:cs="Open Sans"/>
                <w:sz w:val="20"/>
                <w:szCs w:val="20"/>
                <w:lang w:val="en-GB" w:eastAsia="en-US"/>
              </w:rPr>
            </w:pPr>
            <w:r w:rsidRPr="003B40F2">
              <w:rPr>
                <w:rFonts w:ascii="Open Sans" w:eastAsia="Calibri" w:hAnsi="Open Sans" w:cs="Open Sans"/>
                <w:sz w:val="20"/>
                <w:szCs w:val="20"/>
                <w:lang w:val="en-GB" w:eastAsia="en-US"/>
              </w:rPr>
              <w:t>The event will be widely promoted;</w:t>
            </w:r>
          </w:p>
          <w:p w14:paraId="6B6FA3FF" w14:textId="77777777" w:rsidR="007B36D0" w:rsidRPr="003B40F2" w:rsidRDefault="007B36D0" w:rsidP="003B40F2">
            <w:pPr>
              <w:pStyle w:val="ListParagraph"/>
              <w:spacing w:line="276" w:lineRule="auto"/>
              <w:ind w:left="0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eastAsia="Calibri" w:hAnsi="Open Sans" w:cs="Open Sans"/>
                <w:sz w:val="20"/>
                <w:szCs w:val="20"/>
                <w:lang w:val="en-GB" w:eastAsia="en-US"/>
              </w:rPr>
              <w:t>Public access will be free of charge;</w:t>
            </w:r>
          </w:p>
          <w:p w14:paraId="34F3539D" w14:textId="77777777" w:rsidR="007B36D0" w:rsidRPr="003B40F2" w:rsidRDefault="007B36D0" w:rsidP="003B40F2">
            <w:pPr>
              <w:spacing w:line="276" w:lineRule="auto"/>
              <w:contextualSpacing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eastAsia="Calibri" w:hAnsi="Open Sans" w:cs="Open Sans"/>
                <w:sz w:val="20"/>
                <w:szCs w:val="20"/>
                <w:lang w:val="en-GB"/>
              </w:rPr>
              <w:t>NO commercial purpose/activity within the event;</w:t>
            </w:r>
          </w:p>
          <w:p w14:paraId="6DDF670C" w14:textId="45B2C06B" w:rsidR="000A1D40" w:rsidRPr="003B40F2" w:rsidRDefault="007B36D0" w:rsidP="003B40F2">
            <w:pPr>
              <w:spacing w:line="276" w:lineRule="auto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eastAsia="Calibri" w:hAnsi="Open Sans" w:cs="Open Sans"/>
                <w:sz w:val="20"/>
                <w:szCs w:val="20"/>
                <w:lang w:val="en-GB"/>
              </w:rPr>
              <w:t>I</w:t>
            </w: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f economic operators are foreseen among participants, the event </w:t>
            </w:r>
            <w:r w:rsidR="00721DF7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must</w:t>
            </w: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be promoted to all interested operators</w:t>
            </w:r>
            <w:r w:rsidR="000A1D40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;</w:t>
            </w:r>
          </w:p>
          <w:p w14:paraId="75DB901D" w14:textId="0342895C" w:rsidR="007B36D0" w:rsidRPr="003B40F2" w:rsidRDefault="00DF49E3" w:rsidP="003B40F2">
            <w:pPr>
              <w:spacing w:line="276" w:lineRule="auto"/>
              <w:contextualSpacing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event shall not be dedicated to meet the specific economic interest of a single </w:t>
            </w:r>
            <w:r w:rsidR="00601273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economic operator</w:t>
            </w:r>
            <w:r w:rsidR="007B36D0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</w:tc>
      </w:tr>
      <w:tr w:rsidR="007B36D0" w:rsidRPr="003B40F2" w14:paraId="5B3B2B2C" w14:textId="77777777" w:rsidTr="003B40F2">
        <w:tc>
          <w:tcPr>
            <w:tcW w:w="1710" w:type="dxa"/>
            <w:vAlign w:val="center"/>
          </w:tcPr>
          <w:p w14:paraId="14E41BBA" w14:textId="77777777" w:rsidR="007B36D0" w:rsidRPr="003B40F2" w:rsidRDefault="007B36D0" w:rsidP="00AA53A6">
            <w:pPr>
              <w:rPr>
                <w:rFonts w:ascii="Open Sans" w:eastAsia="Calibri" w:hAnsi="Open Sans" w:cs="Open Sans"/>
                <w:sz w:val="20"/>
                <w:szCs w:val="20"/>
                <w:lang w:val="en-GB" w:eastAsia="en-US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Creating a brand/platform/network</w:t>
            </w:r>
          </w:p>
        </w:tc>
        <w:tc>
          <w:tcPr>
            <w:tcW w:w="8550" w:type="dxa"/>
          </w:tcPr>
          <w:p w14:paraId="0E085949" w14:textId="77777777" w:rsidR="007B36D0" w:rsidRPr="003B40F2" w:rsidRDefault="007B36D0" w:rsidP="003B40F2">
            <w:pPr>
              <w:spacing w:line="276" w:lineRule="auto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Non-discriminating access to the cross-border platform/network will be provided;</w:t>
            </w:r>
          </w:p>
          <w:p w14:paraId="7155FE2A" w14:textId="302847D5" w:rsidR="007B36D0" w:rsidRPr="003B40F2" w:rsidRDefault="007B36D0" w:rsidP="003B40F2">
            <w:pPr>
              <w:spacing w:line="276" w:lineRule="auto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In case a fee is foreseen for network maintenance and operation, it </w:t>
            </w:r>
            <w:r w:rsidR="00721DF7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must</w:t>
            </w: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be </w:t>
            </w:r>
            <w:r w:rsidR="00930EAF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transparent, </w:t>
            </w: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moderate </w:t>
            </w:r>
            <w:r w:rsidR="00930EAF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(preferably covering only the real costs of operation and maintenance) </w:t>
            </w: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one and unique for all users;</w:t>
            </w:r>
          </w:p>
          <w:p w14:paraId="0B047763" w14:textId="77777777" w:rsidR="007B36D0" w:rsidRPr="003B40F2" w:rsidRDefault="007B36D0" w:rsidP="003B40F2">
            <w:pPr>
              <w:spacing w:line="276" w:lineRule="auto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The intention to create the cross-border platform/network will be largely disseminated, on the applicant’s and Programme sites</w:t>
            </w:r>
          </w:p>
          <w:p w14:paraId="4564DA9F" w14:textId="77777777" w:rsidR="007B36D0" w:rsidRPr="003B40F2" w:rsidRDefault="007B36D0" w:rsidP="003B40F2">
            <w:pPr>
              <w:spacing w:line="276" w:lineRule="auto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If the brand/platform is addressed to enterprises, those should be: </w:t>
            </w:r>
          </w:p>
          <w:p w14:paraId="4923CE71" w14:textId="77777777" w:rsidR="007B36D0" w:rsidRPr="003B40F2" w:rsidRDefault="007B36D0" w:rsidP="003B40F2">
            <w:pPr>
              <w:spacing w:line="276" w:lineRule="auto"/>
              <w:ind w:firstLine="234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- of small/very small dimension; </w:t>
            </w:r>
          </w:p>
          <w:p w14:paraId="7DB3A63B" w14:textId="77777777" w:rsidR="007B36D0" w:rsidRPr="003B40F2" w:rsidRDefault="007B36D0" w:rsidP="003B40F2">
            <w:pPr>
              <w:spacing w:line="276" w:lineRule="auto"/>
              <w:ind w:firstLine="234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- active mainly at a local level (the area should be well defined);</w:t>
            </w:r>
          </w:p>
          <w:p w14:paraId="6FFD15D3" w14:textId="77777777" w:rsidR="007B36D0" w:rsidRPr="003B40F2" w:rsidRDefault="007B36D0" w:rsidP="003B40F2">
            <w:pPr>
              <w:spacing w:line="276" w:lineRule="auto"/>
              <w:ind w:firstLine="234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- active in economic sectors where the cross-border commercial flows are marginal. </w:t>
            </w:r>
          </w:p>
        </w:tc>
      </w:tr>
      <w:tr w:rsidR="007B36D0" w:rsidRPr="003B40F2" w14:paraId="14AF9CA6" w14:textId="77777777" w:rsidTr="003B40F2">
        <w:tc>
          <w:tcPr>
            <w:tcW w:w="1710" w:type="dxa"/>
            <w:vAlign w:val="center"/>
          </w:tcPr>
          <w:p w14:paraId="07F42A01" w14:textId="77777777" w:rsidR="007B36D0" w:rsidRPr="003B40F2" w:rsidRDefault="007B36D0" w:rsidP="00AA53A6">
            <w:pPr>
              <w:spacing w:line="276" w:lineRule="auto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Organizing training</w:t>
            </w:r>
          </w:p>
        </w:tc>
        <w:tc>
          <w:tcPr>
            <w:tcW w:w="8550" w:type="dxa"/>
          </w:tcPr>
          <w:p w14:paraId="3CFC14DF" w14:textId="77777777" w:rsidR="007B36D0" w:rsidRPr="003B40F2" w:rsidRDefault="007B36D0" w:rsidP="003B40F2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Ensuring a non-discriminatory participation of all interested stakeholders/persons; </w:t>
            </w:r>
          </w:p>
          <w:p w14:paraId="2DB984CE" w14:textId="77777777" w:rsidR="007B36D0" w:rsidRPr="003B40F2" w:rsidRDefault="007B36D0" w:rsidP="003B40F2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Wide dissemination; </w:t>
            </w:r>
          </w:p>
          <w:p w14:paraId="4128ABDA" w14:textId="77777777" w:rsidR="007B36D0" w:rsidRPr="003B40F2" w:rsidRDefault="007B36D0" w:rsidP="003B40F2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Free access, opened to the general public; </w:t>
            </w:r>
          </w:p>
          <w:p w14:paraId="50559BF1" w14:textId="77777777" w:rsidR="007B36D0" w:rsidRPr="003B40F2" w:rsidRDefault="007B36D0" w:rsidP="003B40F2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The participants (others than the staff of a public institution) must attend the training as natural person;</w:t>
            </w:r>
          </w:p>
          <w:p w14:paraId="2C8B6EA9" w14:textId="36526E07" w:rsidR="00B749B7" w:rsidRPr="003B40F2" w:rsidRDefault="00B749B7" w:rsidP="003B40F2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objective of the training </w:t>
            </w:r>
            <w:r w:rsidR="009D5126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shall</w:t>
            </w: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be </w:t>
            </w:r>
            <w:r w:rsidR="00E409AD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social promotion or employability of the natural persons, and they </w:t>
            </w:r>
            <w:r w:rsidR="009D5126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shall</w:t>
            </w:r>
            <w:r w:rsidR="00E409AD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not serve the direct</w:t>
            </w:r>
            <w:r w:rsidR="0034141F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economic interest of a specific employer;</w:t>
            </w:r>
          </w:p>
          <w:p w14:paraId="7F4C4CE8" w14:textId="77777777" w:rsidR="007B36D0" w:rsidRPr="003B40F2" w:rsidRDefault="007B36D0" w:rsidP="003B40F2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Training support materials will have to be published on the Programme's website, either entirely, or at least in the format of a coherent summary;’</w:t>
            </w:r>
          </w:p>
          <w:p w14:paraId="2D2F50C0" w14:textId="77777777" w:rsidR="007B36D0" w:rsidRPr="003B40F2" w:rsidRDefault="007B36D0" w:rsidP="003B40F2">
            <w:pPr>
              <w:pStyle w:val="ListParagraph"/>
              <w:spacing w:line="276" w:lineRule="auto"/>
              <w:ind w:left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It is recommended to adopt a selection procedure ensuring that: </w:t>
            </w:r>
          </w:p>
          <w:p w14:paraId="0B39A1F5" w14:textId="77777777" w:rsidR="007B36D0" w:rsidRPr="003B40F2" w:rsidRDefault="007B36D0" w:rsidP="003B40F2">
            <w:pPr>
              <w:pStyle w:val="ListParagraph"/>
              <w:spacing w:line="276" w:lineRule="auto"/>
              <w:ind w:left="0" w:firstLine="324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a) the participants to a training initiative are not the employees of the same employer and/or </w:t>
            </w:r>
          </w:p>
          <w:p w14:paraId="3D06DD11" w14:textId="77777777" w:rsidR="007B36D0" w:rsidRPr="003B40F2" w:rsidRDefault="007B36D0" w:rsidP="003B40F2">
            <w:pPr>
              <w:pStyle w:val="ListParagraph"/>
              <w:spacing w:line="276" w:lineRule="auto"/>
              <w:ind w:left="0" w:firstLine="324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b) the majority (in terms of percentages) of the employees of the same employer take part to a training initiative</w:t>
            </w:r>
          </w:p>
          <w:p w14:paraId="4B5B9D55" w14:textId="77777777" w:rsidR="007B36D0" w:rsidRPr="003B40F2" w:rsidRDefault="007B36D0" w:rsidP="003B40F2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lastRenderedPageBreak/>
              <w:t>In case of training related to the use of purchased equipment: the price of training will be included in the equipment price and can be done only for staff operating the equipment.</w:t>
            </w:r>
          </w:p>
        </w:tc>
      </w:tr>
      <w:tr w:rsidR="007B36D0" w:rsidRPr="003B40F2" w14:paraId="2FD241E2" w14:textId="77777777" w:rsidTr="003B40F2">
        <w:tc>
          <w:tcPr>
            <w:tcW w:w="1710" w:type="dxa"/>
            <w:vAlign w:val="center"/>
          </w:tcPr>
          <w:p w14:paraId="30194CD2" w14:textId="77777777" w:rsidR="007B36D0" w:rsidRPr="003B40F2" w:rsidRDefault="007B36D0" w:rsidP="00AA53A6">
            <w:pPr>
              <w:pStyle w:val="ListParagraph"/>
              <w:spacing w:line="276" w:lineRule="auto"/>
              <w:ind w:left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lastRenderedPageBreak/>
              <w:t>Strategies, studies, plans</w:t>
            </w:r>
          </w:p>
        </w:tc>
        <w:tc>
          <w:tcPr>
            <w:tcW w:w="8550" w:type="dxa"/>
          </w:tcPr>
          <w:p w14:paraId="2C1C67B3" w14:textId="77777777" w:rsidR="007B36D0" w:rsidRPr="003B40F2" w:rsidRDefault="007B36D0" w:rsidP="003B40F2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content of the strategy/study/plan </w:t>
            </w:r>
            <w:r w:rsidRPr="003B40F2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shall not be</w:t>
            </w: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customized for the needs of one/few specific </w:t>
            </w:r>
            <w:proofErr w:type="gramStart"/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company</w:t>
            </w:r>
            <w:proofErr w:type="gramEnd"/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(</w:t>
            </w:r>
            <w:proofErr w:type="spellStart"/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ies</w:t>
            </w:r>
            <w:proofErr w:type="spellEnd"/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)</w:t>
            </w:r>
            <w:r w:rsidR="00A03BB1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;</w:t>
            </w:r>
          </w:p>
          <w:p w14:paraId="55A4D6D3" w14:textId="4E428DB3" w:rsidR="00A03BB1" w:rsidRPr="003B40F2" w:rsidRDefault="00A03BB1" w:rsidP="003B40F2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</w:t>
            </w:r>
            <w:r w:rsidR="004E653B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studies, strategies, plans will have to be published on the Programme's website, either entirely, or at least in the format of a coherent summary</w:t>
            </w:r>
            <w:r w:rsidR="00826CCD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  <w:r w:rsidR="004E653B"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</w:t>
            </w:r>
          </w:p>
        </w:tc>
      </w:tr>
      <w:tr w:rsidR="003B40F2" w:rsidRPr="003B40F2" w14:paraId="518EE56E" w14:textId="77777777" w:rsidTr="003B40F2">
        <w:tc>
          <w:tcPr>
            <w:tcW w:w="1710" w:type="dxa"/>
            <w:vMerge w:val="restart"/>
            <w:vAlign w:val="center"/>
          </w:tcPr>
          <w:p w14:paraId="45BE685B" w14:textId="66336292" w:rsidR="003B40F2" w:rsidRPr="003B40F2" w:rsidRDefault="003B40F2" w:rsidP="00AA53A6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Investment in equipment/infrastructure</w:t>
            </w:r>
          </w:p>
        </w:tc>
        <w:tc>
          <w:tcPr>
            <w:tcW w:w="8550" w:type="dxa"/>
          </w:tcPr>
          <w:p w14:paraId="03D81444" w14:textId="77777777" w:rsidR="003B40F2" w:rsidRPr="003B40F2" w:rsidRDefault="003B40F2" w:rsidP="003B40F2">
            <w:pPr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/>
              </w:rPr>
              <w:t>HEALTH (RSO4.5):</w:t>
            </w: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</w:t>
            </w:r>
          </w:p>
          <w:p w14:paraId="7A7619FF" w14:textId="2B1C9DA2" w:rsidR="003B40F2" w:rsidRPr="003B40F2" w:rsidRDefault="003B40F2" w:rsidP="003B40F2">
            <w:pPr>
              <w:spacing w:line="276" w:lineRule="auto"/>
              <w:jc w:val="both"/>
              <w:rPr>
                <w:rFonts w:ascii="Open Sans" w:eastAsia="MS Mincho" w:hAnsi="Open Sans" w:cs="Open Sans"/>
                <w:bCs/>
                <w:color w:val="000000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a) The </w:t>
            </w:r>
            <w:r w:rsidRPr="003B40F2">
              <w:rPr>
                <w:rFonts w:ascii="Open Sans" w:eastAsia="MS Mincho" w:hAnsi="Open Sans" w:cs="Open Sans"/>
                <w:bCs/>
                <w:color w:val="000000"/>
                <w:sz w:val="20"/>
                <w:szCs w:val="20"/>
                <w:lang w:val="en-GB"/>
              </w:rPr>
              <w:t xml:space="preserve">activities are </w:t>
            </w: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/>
              </w:rPr>
              <w:t>State’s prerogative</w:t>
            </w:r>
            <w:r w:rsidRPr="003B40F2">
              <w:rPr>
                <w:rFonts w:ascii="Open Sans" w:eastAsia="MS Mincho" w:hAnsi="Open Sans" w:cs="Open Sans"/>
                <w:bCs/>
                <w:color w:val="000000"/>
                <w:sz w:val="20"/>
                <w:szCs w:val="20"/>
                <w:lang w:val="en-GB"/>
              </w:rPr>
              <w:t xml:space="preserve"> (e.g.: activities exclusively related to emergency, development of telemedical and e-health infrastructure for diagnosis and treatment)</w:t>
            </w:r>
          </w:p>
          <w:p w14:paraId="1FD05236" w14:textId="77777777" w:rsidR="003B40F2" w:rsidRPr="003B40F2" w:rsidRDefault="003B40F2" w:rsidP="003B40F2">
            <w:pPr>
              <w:spacing w:line="276" w:lineRule="auto"/>
              <w:jc w:val="both"/>
              <w:rPr>
                <w:rFonts w:ascii="Open Sans" w:eastAsia="MS Mincho" w:hAnsi="Open Sans" w:cs="Open Sans"/>
                <w:bCs/>
                <w:color w:val="000000"/>
                <w:sz w:val="20"/>
                <w:szCs w:val="20"/>
                <w:lang w:val="en-GB"/>
              </w:rPr>
            </w:pPr>
            <w:r w:rsidRPr="003B40F2">
              <w:rPr>
                <w:rFonts w:ascii="Open Sans" w:eastAsia="MS Mincho" w:hAnsi="Open Sans" w:cs="Open Sans"/>
                <w:bCs/>
                <w:color w:val="000000"/>
                <w:sz w:val="20"/>
                <w:szCs w:val="20"/>
                <w:lang w:val="en-GB"/>
              </w:rPr>
              <w:t xml:space="preserve">b) The funding of the activities </w:t>
            </w:r>
            <w:r w:rsidRPr="003B40F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is based on the principle of solidarity (according to paragraphs 23-24 of NoA</w:t>
            </w:r>
            <w:r w:rsidRPr="003B40F2">
              <w:rPr>
                <w:rStyle w:val="FootnoteReference"/>
                <w:rFonts w:ascii="Open Sans" w:hAnsi="Open Sans" w:cs="Open Sans"/>
                <w:bCs/>
                <w:sz w:val="20"/>
                <w:szCs w:val="20"/>
                <w:lang w:val="en-GB"/>
              </w:rPr>
              <w:footnoteReference w:id="1"/>
            </w:r>
            <w:r w:rsidRPr="003B40F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and State Aid Monitoring Office letter, on 24 March 2017).</w:t>
            </w:r>
          </w:p>
          <w:p w14:paraId="15EEA954" w14:textId="77777777" w:rsidR="003B40F2" w:rsidRPr="003B40F2" w:rsidRDefault="003B40F2" w:rsidP="003B40F2">
            <w:pPr>
              <w:spacing w:line="276" w:lineRule="auto"/>
              <w:contextualSpacing/>
              <w:jc w:val="center"/>
              <w:rPr>
                <w:rFonts w:ascii="Open Sans" w:eastAsia="MS Mincho" w:hAnsi="Open Sans" w:cs="Open Sans"/>
                <w:b/>
                <w:bCs/>
                <w:color w:val="000000"/>
                <w:sz w:val="20"/>
                <w:szCs w:val="20"/>
                <w:lang w:val="en-GB" w:eastAsia="en-US"/>
              </w:rPr>
            </w:pPr>
            <w:r w:rsidRPr="003B40F2">
              <w:rPr>
                <w:rFonts w:ascii="Open Sans" w:eastAsia="MS Mincho" w:hAnsi="Open Sans" w:cs="Open Sans"/>
                <w:b/>
                <w:bCs/>
                <w:color w:val="000000"/>
                <w:sz w:val="20"/>
                <w:szCs w:val="20"/>
                <w:lang w:val="en-GB" w:eastAsia="en-US"/>
              </w:rPr>
              <w:t>OR if either a) or b) are not fulfilled, then</w:t>
            </w:r>
          </w:p>
          <w:p w14:paraId="7FE2A878" w14:textId="77777777" w:rsidR="003B40F2" w:rsidRPr="003B40F2" w:rsidRDefault="003B40F2" w:rsidP="003B40F2">
            <w:pPr>
              <w:spacing w:line="276" w:lineRule="auto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 w:eastAsia="en-US"/>
              </w:rPr>
              <w:t xml:space="preserve">c) There is no potential effect on trade between Member States, due to </w:t>
            </w: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 w:eastAsia="en-US"/>
              </w:rPr>
              <w:t>local impact</w:t>
            </w: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vertAlign w:val="superscript"/>
                <w:lang w:val="en-GB" w:eastAsia="en-US"/>
              </w:rPr>
              <w:footnoteReference w:id="2"/>
            </w: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:</w:t>
            </w:r>
          </w:p>
          <w:p w14:paraId="35660333" w14:textId="77777777" w:rsidR="003B40F2" w:rsidRPr="003B40F2" w:rsidRDefault="003B40F2" w:rsidP="003B40F2">
            <w:pPr>
              <w:pStyle w:val="Default"/>
              <w:spacing w:line="276" w:lineRule="auto"/>
              <w:jc w:val="both"/>
              <w:rPr>
                <w:bCs/>
                <w:sz w:val="20"/>
                <w:szCs w:val="20"/>
                <w:lang w:val="en-GB"/>
              </w:rPr>
            </w:pPr>
            <w:r w:rsidRPr="003B40F2">
              <w:rPr>
                <w:bCs/>
                <w:sz w:val="20"/>
                <w:szCs w:val="20"/>
                <w:lang w:val="en-GB"/>
              </w:rPr>
              <w:t>The applicant shall submit a local impact study addressing, in a non-cumulative/exhaustive manner, indicative aspects such as:</w:t>
            </w:r>
          </w:p>
          <w:p w14:paraId="25957BE5" w14:textId="77777777" w:rsidR="003B40F2" w:rsidRPr="003B40F2" w:rsidRDefault="003B40F2" w:rsidP="003B40F2">
            <w:pPr>
              <w:pStyle w:val="Default"/>
              <w:numPr>
                <w:ilvl w:val="0"/>
                <w:numId w:val="3"/>
              </w:numPr>
              <w:spacing w:line="276" w:lineRule="auto"/>
              <w:ind w:left="0" w:firstLine="360"/>
              <w:jc w:val="both"/>
              <w:rPr>
                <w:sz w:val="20"/>
                <w:szCs w:val="20"/>
                <w:lang w:val="en-GB"/>
              </w:rPr>
            </w:pPr>
            <w:r w:rsidRPr="003B40F2">
              <w:rPr>
                <w:sz w:val="20"/>
                <w:szCs w:val="20"/>
                <w:lang w:val="en-GB"/>
              </w:rPr>
              <w:t>the aid does not lead to demand or investments being attracted to the region concerned and does not create obstacles to the establishment of undertakings from other Member States;</w:t>
            </w:r>
          </w:p>
          <w:p w14:paraId="72BEB4CA" w14:textId="77777777" w:rsidR="003B40F2" w:rsidRPr="003B40F2" w:rsidRDefault="003B40F2" w:rsidP="003B40F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0" w:firstLine="360"/>
              <w:contextualSpacing w:val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healthcare services offered by the beneficiary, or the operator of the infrastructure/equipment are purely local or have a geographically limited attraction zone; </w:t>
            </w:r>
          </w:p>
          <w:p w14:paraId="34B652AF" w14:textId="61953E5B" w:rsidR="003B40F2" w:rsidRPr="003B40F2" w:rsidRDefault="003B40F2" w:rsidP="003B40F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0" w:firstLine="360"/>
              <w:contextualSpacing w:val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There is at most a marginal effect on the markets and on consumers in the neighbouring Member States. </w:t>
            </w:r>
          </w:p>
        </w:tc>
      </w:tr>
      <w:tr w:rsidR="003B40F2" w:rsidRPr="003B40F2" w14:paraId="54B9B1BC" w14:textId="77777777" w:rsidTr="003B40F2">
        <w:tc>
          <w:tcPr>
            <w:tcW w:w="1710" w:type="dxa"/>
            <w:vMerge/>
            <w:vAlign w:val="center"/>
          </w:tcPr>
          <w:p w14:paraId="00AF78AE" w14:textId="77777777" w:rsidR="003B40F2" w:rsidRPr="003B40F2" w:rsidRDefault="003B40F2" w:rsidP="00AA53A6">
            <w:pPr>
              <w:autoSpaceDE w:val="0"/>
              <w:autoSpaceDN w:val="0"/>
              <w:adjustRightInd w:val="0"/>
              <w:jc w:val="both"/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 w:eastAsia="en-US"/>
              </w:rPr>
            </w:pPr>
          </w:p>
        </w:tc>
        <w:tc>
          <w:tcPr>
            <w:tcW w:w="8550" w:type="dxa"/>
          </w:tcPr>
          <w:p w14:paraId="5ED3CE30" w14:textId="77777777" w:rsidR="003B40F2" w:rsidRPr="003B40F2" w:rsidRDefault="003B40F2" w:rsidP="003B40F2">
            <w:pPr>
              <w:spacing w:line="276" w:lineRule="auto"/>
              <w:contextualSpacing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CULTURE (RSO4.6):</w:t>
            </w:r>
          </w:p>
          <w:p w14:paraId="7E99E458" w14:textId="77777777" w:rsidR="003B40F2" w:rsidRPr="003B40F2" w:rsidRDefault="003B40F2" w:rsidP="003B40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 w:eastAsia="en-US"/>
              </w:rPr>
            </w:pP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 w:eastAsia="en-US"/>
              </w:rPr>
              <w:t>The</w:t>
            </w: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 w:eastAsia="en-US"/>
              </w:rPr>
              <w:t xml:space="preserve"> </w:t>
            </w: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 w:eastAsia="en-US"/>
              </w:rPr>
              <w:t xml:space="preserve">cultural activities are </w:t>
            </w:r>
          </w:p>
          <w:p w14:paraId="70DA0D29" w14:textId="77777777" w:rsidR="003B40F2" w:rsidRPr="003B40F2" w:rsidRDefault="003B40F2" w:rsidP="003B40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 w:eastAsia="en-US"/>
              </w:rPr>
            </w:pP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 w:eastAsia="en-US"/>
              </w:rPr>
              <w:t xml:space="preserve">a) organized in a </w:t>
            </w: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 w:eastAsia="en-US"/>
              </w:rPr>
              <w:t>non-commercial way</w:t>
            </w: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 w:eastAsia="en-US"/>
              </w:rPr>
              <w:t>:</w:t>
            </w:r>
          </w:p>
          <w:p w14:paraId="7837CE35" w14:textId="77777777" w:rsidR="003B40F2" w:rsidRPr="003B40F2" w:rsidRDefault="003B40F2" w:rsidP="003B40F2">
            <w:pPr>
              <w:numPr>
                <w:ilvl w:val="0"/>
                <w:numId w:val="1"/>
              </w:numPr>
              <w:spacing w:line="276" w:lineRule="auto"/>
              <w:ind w:left="66" w:firstLine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Absence/marginal presence of economic activities OR</w:t>
            </w:r>
          </w:p>
          <w:p w14:paraId="0FEED240" w14:textId="77777777" w:rsidR="003B40F2" w:rsidRPr="003B40F2" w:rsidRDefault="003B40F2" w:rsidP="003B40F2">
            <w:pPr>
              <w:numPr>
                <w:ilvl w:val="0"/>
                <w:numId w:val="1"/>
              </w:numPr>
              <w:spacing w:line="276" w:lineRule="auto"/>
              <w:ind w:left="66" w:firstLine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There are both economic/non-economic activities but there is a clear separation of accounts OR</w:t>
            </w:r>
          </w:p>
          <w:p w14:paraId="580492A0" w14:textId="77777777" w:rsidR="003B40F2" w:rsidRPr="003B40F2" w:rsidRDefault="003B40F2" w:rsidP="003B40F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-24" w:firstLine="270"/>
              <w:contextualSpacing w:val="0"/>
              <w:jc w:val="both"/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/>
              </w:rPr>
            </w:pP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/>
              </w:rPr>
              <w:t xml:space="preserve">The activities are objectively </w:t>
            </w: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/>
              </w:rPr>
              <w:t>non substitutable</w:t>
            </w: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/>
              </w:rPr>
              <w:t xml:space="preserve">, thus excluding the existence of a genuine market. </w:t>
            </w:r>
          </w:p>
          <w:p w14:paraId="4279F8DD" w14:textId="77777777" w:rsidR="003B40F2" w:rsidRPr="003B40F2" w:rsidRDefault="003B40F2" w:rsidP="003B40F2">
            <w:pPr>
              <w:autoSpaceDE w:val="0"/>
              <w:autoSpaceDN w:val="0"/>
              <w:adjustRightInd w:val="0"/>
              <w:spacing w:line="276" w:lineRule="auto"/>
              <w:ind w:left="-114"/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/>
              </w:rPr>
            </w:pP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/>
              </w:rPr>
              <w:lastRenderedPageBreak/>
              <w:t>(</w:t>
            </w:r>
            <w:r w:rsidRPr="003B40F2">
              <w:rPr>
                <w:rFonts w:ascii="Open Sans" w:eastAsia="MS Mincho" w:hAnsi="Open Sans" w:cs="Open Sans"/>
                <w:i/>
                <w:iCs/>
                <w:color w:val="000000"/>
                <w:sz w:val="20"/>
                <w:szCs w:val="20"/>
                <w:lang w:val="en-GB"/>
              </w:rPr>
              <w:t>Such activities are not economic in nature</w:t>
            </w:r>
            <w:r w:rsidRPr="003B40F2">
              <w:rPr>
                <w:rFonts w:ascii="Open Sans" w:hAnsi="Open Sans" w:cs="Open Sans"/>
                <w:i/>
                <w:iCs/>
                <w:sz w:val="20"/>
                <w:szCs w:val="20"/>
                <w:vertAlign w:val="superscript"/>
                <w:lang w:val="en-GB"/>
              </w:rPr>
              <w:footnoteReference w:id="3"/>
            </w:r>
            <w:r w:rsidRPr="003B40F2">
              <w:rPr>
                <w:rFonts w:ascii="Open Sans" w:eastAsia="MS Mincho" w:hAnsi="Open Sans" w:cs="Open Sans"/>
                <w:b/>
                <w:bCs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  <w:r w:rsidRPr="003B40F2">
              <w:rPr>
                <w:rFonts w:ascii="Open Sans" w:eastAsia="MS Mincho" w:hAnsi="Open Sans" w:cs="Open Sans"/>
                <w:i/>
                <w:iCs/>
                <w:color w:val="000000"/>
                <w:sz w:val="20"/>
                <w:szCs w:val="20"/>
                <w:lang w:val="en-GB"/>
              </w:rPr>
              <w:t>and thus the funding of such infrastructure will not be considered as State aid</w:t>
            </w: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/>
              </w:rPr>
              <w:t>);</w:t>
            </w:r>
          </w:p>
          <w:p w14:paraId="5C4D0FF9" w14:textId="77777777" w:rsidR="003B40F2" w:rsidRPr="003B40F2" w:rsidRDefault="003B40F2" w:rsidP="003B40F2">
            <w:pPr>
              <w:autoSpaceDE w:val="0"/>
              <w:autoSpaceDN w:val="0"/>
              <w:adjustRightInd w:val="0"/>
              <w:spacing w:line="276" w:lineRule="auto"/>
              <w:ind w:left="-114"/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Verifying absence//marginal presence of economic activities:</w:t>
            </w:r>
          </w:p>
          <w:p w14:paraId="136AAD8F" w14:textId="77777777" w:rsidR="003B40F2" w:rsidRPr="003B40F2" w:rsidRDefault="003B40F2" w:rsidP="003B40F2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-36" w:firstLine="282"/>
              <w:contextualSpacing w:val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visitors’ fees cover only a fraction of real running costs; </w:t>
            </w:r>
          </w:p>
          <w:p w14:paraId="7E910237" w14:textId="77777777" w:rsidR="003B40F2" w:rsidRPr="003B40F2" w:rsidRDefault="003B40F2" w:rsidP="003B40F2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-36" w:firstLine="282"/>
              <w:contextualSpacing w:val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The commercial-oriented use of the infrastructure is NOT overpassing 20% of its overall use (</w:t>
            </w:r>
            <w:r w:rsidRPr="003B40F2">
              <w:rPr>
                <w:rFonts w:ascii="Open Sans" w:hAnsi="Open Sans" w:cs="Open Sans"/>
                <w:color w:val="323E4F" w:themeColor="text2" w:themeShade="BF"/>
                <w:sz w:val="20"/>
                <w:szCs w:val="20"/>
                <w:lang w:val="en-GB"/>
              </w:rPr>
              <w:t>Both the surface and the periods of use of the infrastructure for economic purposes should be considered to calculate the real proportion, which should never overpass 20%).</w:t>
            </w:r>
          </w:p>
          <w:p w14:paraId="1C0EEBD2" w14:textId="77777777" w:rsidR="003B40F2" w:rsidRPr="003B40F2" w:rsidRDefault="003B40F2" w:rsidP="003B40F2">
            <w:pPr>
              <w:spacing w:line="276" w:lineRule="auto"/>
              <w:ind w:left="-36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Clear separation of accounts:</w:t>
            </w:r>
          </w:p>
          <w:p w14:paraId="0379AA3D" w14:textId="77777777" w:rsidR="003B40F2" w:rsidRPr="003B40F2" w:rsidRDefault="003B40F2" w:rsidP="003B40F2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-36" w:firstLine="450"/>
              <w:contextualSpacing w:val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the existence of a system of separation of accounts that guarantees that the public aid covers only the part of the infrastructures having non-economic purposes;</w:t>
            </w:r>
          </w:p>
          <w:p w14:paraId="6D849C8E" w14:textId="77777777" w:rsidR="003B40F2" w:rsidRPr="003B40F2" w:rsidRDefault="003B40F2" w:rsidP="003B40F2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-36" w:firstLine="450"/>
              <w:contextualSpacing w:val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All expenditures reported to the Programme are exclusively recorded in the non-commercial sections of the accounts, as all related running costs.</w:t>
            </w:r>
          </w:p>
          <w:p w14:paraId="1376EED9" w14:textId="77777777" w:rsidR="003B40F2" w:rsidRPr="003B40F2" w:rsidRDefault="003B40F2" w:rsidP="003B40F2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-36" w:firstLine="450"/>
              <w:contextualSpacing w:val="0"/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No significant incomes appear in the recordings related to the “non-commercial” part of the accounts.</w:t>
            </w:r>
          </w:p>
          <w:p w14:paraId="54B5A6AA" w14:textId="77777777" w:rsidR="003B40F2" w:rsidRPr="003B40F2" w:rsidRDefault="003B40F2" w:rsidP="003B40F2">
            <w:pPr>
              <w:spacing w:line="276" w:lineRule="auto"/>
              <w:contextualSpacing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 w:eastAsia="en-US"/>
              </w:rPr>
              <w:t>b)</w:t>
            </w: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 w:eastAsia="en-US"/>
              </w:rPr>
              <w:t xml:space="preserve"> there is no potential effect on trade between Member States, due to </w:t>
            </w: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 w:eastAsia="en-US"/>
              </w:rPr>
              <w:t>local impact</w:t>
            </w: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vertAlign w:val="superscript"/>
                <w:lang w:val="en-GB" w:eastAsia="en-US"/>
              </w:rPr>
              <w:footnoteReference w:id="4"/>
            </w:r>
            <w:r w:rsidRPr="003B40F2">
              <w:rPr>
                <w:rFonts w:ascii="Open Sans" w:hAnsi="Open Sans" w:cs="Open Sans"/>
                <w:sz w:val="20"/>
                <w:szCs w:val="20"/>
                <w:lang w:val="en-GB"/>
              </w:rPr>
              <w:t>:</w:t>
            </w:r>
          </w:p>
          <w:p w14:paraId="57C7AB90" w14:textId="77777777" w:rsidR="003B40F2" w:rsidRPr="003B40F2" w:rsidRDefault="003B40F2" w:rsidP="003B40F2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-36" w:firstLine="450"/>
              <w:contextualSpacing w:val="0"/>
              <w:jc w:val="both"/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/>
              </w:rPr>
            </w:pPr>
            <w:r w:rsidRPr="003B40F2">
              <w:rPr>
                <w:rFonts w:ascii="Open Sans" w:eastAsia="MS Mincho" w:hAnsi="Open Sans" w:cs="Open Sans"/>
                <w:color w:val="000000"/>
                <w:sz w:val="20"/>
                <w:szCs w:val="20"/>
                <w:lang w:val="en-GB"/>
              </w:rPr>
              <w:t>the cultural infrastructure is unlikely to attract users or visitors from similar offers in other Member States, thus not affecting the trade between Member States</w:t>
            </w:r>
          </w:p>
          <w:p w14:paraId="66B54F8D" w14:textId="31759298" w:rsidR="003B40F2" w:rsidRPr="003B40F2" w:rsidRDefault="003B40F2" w:rsidP="003B40F2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-36" w:firstLine="450"/>
              <w:contextualSpacing w:val="0"/>
              <w:jc w:val="both"/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/>
              </w:rPr>
            </w:pPr>
            <w:r w:rsidRPr="003B40F2">
              <w:rPr>
                <w:rFonts w:ascii="Open Sans" w:eastAsia="MS Mincho" w:hAnsi="Open Sans" w:cs="Open Sans"/>
                <w:bCs/>
                <w:color w:val="000000"/>
                <w:sz w:val="20"/>
                <w:szCs w:val="20"/>
                <w:lang w:val="en-GB"/>
              </w:rPr>
              <w:t>the cultural activities/the cultural infrastructure is not promoted to potential visitors from abroad, and the statistics do not show a strong increase of visitors from abroad.</w:t>
            </w:r>
          </w:p>
        </w:tc>
      </w:tr>
      <w:tr w:rsidR="003B40F2" w:rsidRPr="007E3A48" w14:paraId="0D8C435F" w14:textId="77777777" w:rsidTr="003B40F2">
        <w:tc>
          <w:tcPr>
            <w:tcW w:w="1710" w:type="dxa"/>
            <w:vMerge/>
            <w:vAlign w:val="center"/>
          </w:tcPr>
          <w:p w14:paraId="30363DCA" w14:textId="5B18EC70" w:rsidR="003B40F2" w:rsidRPr="003B40F2" w:rsidRDefault="003B40F2" w:rsidP="00AA53A6">
            <w:pPr>
              <w:autoSpaceDE w:val="0"/>
              <w:autoSpaceDN w:val="0"/>
              <w:adjustRightInd w:val="0"/>
              <w:jc w:val="both"/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 w:eastAsia="en-US"/>
              </w:rPr>
            </w:pPr>
          </w:p>
        </w:tc>
        <w:tc>
          <w:tcPr>
            <w:tcW w:w="8550" w:type="dxa"/>
          </w:tcPr>
          <w:p w14:paraId="326CF099" w14:textId="348D638A" w:rsidR="003B40F2" w:rsidRPr="003B40F2" w:rsidRDefault="003B40F2" w:rsidP="003B40F2">
            <w:pPr>
              <w:spacing w:line="276" w:lineRule="auto"/>
              <w:jc w:val="both"/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/>
              </w:rPr>
            </w:pPr>
            <w:r w:rsidRPr="003B40F2"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/>
              </w:rPr>
              <w:t>RENEWABLE ENERGY (RSO2.2):</w:t>
            </w:r>
          </w:p>
          <w:p w14:paraId="1856DFE5" w14:textId="77777777" w:rsidR="003B40F2" w:rsidRPr="003B40F2" w:rsidRDefault="003B40F2" w:rsidP="003B40F2">
            <w:pPr>
              <w:spacing w:line="276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  <w:lang w:val="en-GB"/>
              </w:rPr>
            </w:pPr>
            <w:r w:rsidRPr="003B40F2">
              <w:rPr>
                <w:rFonts w:ascii="Open Sans" w:eastAsia="MS Mincho" w:hAnsi="Open Sans" w:cs="Open Sans"/>
                <w:bCs/>
                <w:color w:val="000000"/>
                <w:sz w:val="20"/>
                <w:szCs w:val="20"/>
                <w:lang w:val="en-GB"/>
              </w:rPr>
              <w:t>N</w:t>
            </w:r>
            <w:r w:rsidRPr="003B40F2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  <w:lang w:val="en-GB"/>
              </w:rPr>
              <w:t>o </w:t>
            </w:r>
            <w:r w:rsidRPr="003B40F2">
              <w:rPr>
                <w:rStyle w:val="markpqf7ecm8c"/>
                <w:rFonts w:ascii="Open Sans" w:hAnsi="Open Sans" w:cs="Open Sans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GB"/>
              </w:rPr>
              <w:t>aid</w:t>
            </w:r>
            <w:r w:rsidRPr="003B40F2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 in case of absence of economic activity </w:t>
            </w:r>
          </w:p>
          <w:p w14:paraId="57D82483" w14:textId="77777777" w:rsidR="003B40F2" w:rsidRPr="003B40F2" w:rsidRDefault="003B40F2" w:rsidP="003B40F2">
            <w:pPr>
              <w:spacing w:line="276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  <w:lang w:val="en-GB"/>
              </w:rPr>
            </w:pPr>
            <w:r w:rsidRPr="003B40F2">
              <w:rPr>
                <w:rFonts w:ascii="Open Sans" w:eastAsia="MS Mincho" w:hAnsi="Open Sans" w:cs="Open Sans"/>
                <w:bCs/>
                <w:color w:val="000000"/>
                <w:sz w:val="20"/>
                <w:szCs w:val="20"/>
                <w:lang w:val="en-GB"/>
              </w:rPr>
              <w:t xml:space="preserve">No potential distortion of competition for the construction and/or management and operation of energy infrastructure: legal/natural monopoly - points 1 and 2 of </w:t>
            </w:r>
            <w:r w:rsidRPr="003B40F2">
              <w:rPr>
                <w:rFonts w:ascii="Open Sans" w:hAnsi="Open Sans" w:cs="Open Sans"/>
                <w:i/>
                <w:iCs/>
                <w:sz w:val="20"/>
                <w:szCs w:val="20"/>
              </w:rPr>
              <w:t>INFRASTRUCTURE ANALYTICAL GRID FOR ENERGY INFRASTRUCTURE</w:t>
            </w:r>
            <w:r w:rsidRPr="003B40F2">
              <w:rPr>
                <w:rStyle w:val="FootnoteReference"/>
                <w:rFonts w:ascii="Open Sans" w:hAnsi="Open Sans" w:cs="Open Sans"/>
                <w:i/>
                <w:iCs/>
                <w:sz w:val="20"/>
                <w:szCs w:val="20"/>
              </w:rPr>
              <w:footnoteReference w:id="5"/>
            </w:r>
          </w:p>
          <w:p w14:paraId="19FDAB01" w14:textId="77777777" w:rsidR="003B40F2" w:rsidRPr="003B40F2" w:rsidRDefault="003B40F2" w:rsidP="003B40F2">
            <w:pPr>
              <w:spacing w:line="276" w:lineRule="auto"/>
              <w:ind w:left="-36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</w:rPr>
              <w:t xml:space="preserve">No economic advantage at the level of the owner/developer of the infrastructure – point 4 of </w:t>
            </w:r>
            <w:r w:rsidRPr="003B40F2">
              <w:rPr>
                <w:rFonts w:ascii="Open Sans" w:hAnsi="Open Sans" w:cs="Open Sans"/>
                <w:i/>
                <w:iCs/>
                <w:sz w:val="20"/>
                <w:szCs w:val="20"/>
              </w:rPr>
              <w:t>INFRASTRUCTURE ANALYTICAL GRID FOR ENERGY INFRASTRUCTURE</w:t>
            </w:r>
          </w:p>
          <w:p w14:paraId="3396110B" w14:textId="77777777" w:rsidR="003B40F2" w:rsidRPr="003B40F2" w:rsidRDefault="003B40F2" w:rsidP="003B40F2">
            <w:pPr>
              <w:spacing w:line="276" w:lineRule="auto"/>
              <w:ind w:left="-36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</w:rPr>
              <w:t xml:space="preserve">No economic advantage at the level of the operator/concessionaire - point 5 of </w:t>
            </w:r>
            <w:r w:rsidRPr="003B40F2">
              <w:rPr>
                <w:rFonts w:ascii="Open Sans" w:hAnsi="Open Sans" w:cs="Open Sans"/>
                <w:i/>
                <w:iCs/>
                <w:sz w:val="20"/>
                <w:szCs w:val="20"/>
              </w:rPr>
              <w:t>INFRASTRUCTURE ANALYTICAL GRID FOR ENERGY INFRASTRUCTURE</w:t>
            </w:r>
          </w:p>
          <w:p w14:paraId="1F189802" w14:textId="77777777" w:rsidR="003B40F2" w:rsidRPr="003B40F2" w:rsidRDefault="003B40F2" w:rsidP="003B40F2">
            <w:pPr>
              <w:spacing w:line="276" w:lineRule="auto"/>
              <w:ind w:left="-36"/>
              <w:jc w:val="both"/>
              <w:rPr>
                <w:rFonts w:ascii="Open Sans" w:eastAsia="MS Mincho" w:hAnsi="Open Sans" w:cs="Open Sans"/>
                <w:b/>
                <w:color w:val="000000"/>
                <w:sz w:val="20"/>
                <w:szCs w:val="20"/>
                <w:lang w:val="en-GB"/>
              </w:rPr>
            </w:pPr>
            <w:r w:rsidRPr="003B40F2">
              <w:rPr>
                <w:rFonts w:ascii="Open Sans" w:hAnsi="Open Sans" w:cs="Open Sans"/>
                <w:sz w:val="20"/>
                <w:szCs w:val="20"/>
              </w:rPr>
              <w:t xml:space="preserve">No economic advantage at the level of the user  - point 6 of </w:t>
            </w:r>
            <w:r w:rsidRPr="003B40F2">
              <w:rPr>
                <w:rFonts w:ascii="Open Sans" w:hAnsi="Open Sans" w:cs="Open Sans"/>
                <w:i/>
                <w:iCs/>
                <w:sz w:val="20"/>
                <w:szCs w:val="20"/>
              </w:rPr>
              <w:t>INFRASTRUCTURE ANALYTICAL GRID FOR ENERGY INFRASTRUCTURE</w:t>
            </w:r>
          </w:p>
        </w:tc>
      </w:tr>
    </w:tbl>
    <w:p w14:paraId="43252AEC" w14:textId="77777777" w:rsidR="001C4E5B" w:rsidRPr="007B36D0" w:rsidRDefault="001C4E5B" w:rsidP="003B40F2">
      <w:pPr>
        <w:rPr>
          <w:lang w:val="en-GB"/>
        </w:rPr>
      </w:pPr>
    </w:p>
    <w:sectPr w:rsidR="001C4E5B" w:rsidRPr="007B36D0" w:rsidSect="003B40F2">
      <w:headerReference w:type="default" r:id="rId9"/>
      <w:pgSz w:w="12240" w:h="15840"/>
      <w:pgMar w:top="108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888C8" w14:textId="77777777" w:rsidR="002E0EAB" w:rsidRDefault="002E0EAB" w:rsidP="007B36D0">
      <w:pPr>
        <w:spacing w:after="0" w:line="240" w:lineRule="auto"/>
      </w:pPr>
      <w:r>
        <w:separator/>
      </w:r>
    </w:p>
  </w:endnote>
  <w:endnote w:type="continuationSeparator" w:id="0">
    <w:p w14:paraId="24D8C657" w14:textId="77777777" w:rsidR="002E0EAB" w:rsidRDefault="002E0EAB" w:rsidP="007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9ECDA" w14:textId="77777777" w:rsidR="002E0EAB" w:rsidRDefault="002E0EAB" w:rsidP="007B36D0">
      <w:pPr>
        <w:spacing w:after="0" w:line="240" w:lineRule="auto"/>
      </w:pPr>
      <w:r>
        <w:separator/>
      </w:r>
    </w:p>
  </w:footnote>
  <w:footnote w:type="continuationSeparator" w:id="0">
    <w:p w14:paraId="112BC7F2" w14:textId="77777777" w:rsidR="002E0EAB" w:rsidRDefault="002E0EAB" w:rsidP="007B36D0">
      <w:pPr>
        <w:spacing w:after="0" w:line="240" w:lineRule="auto"/>
      </w:pPr>
      <w:r>
        <w:continuationSeparator/>
      </w:r>
    </w:p>
  </w:footnote>
  <w:footnote w:id="1">
    <w:p w14:paraId="5BB0E8DA" w14:textId="77777777" w:rsidR="003B40F2" w:rsidRPr="003B40F2" w:rsidRDefault="003B40F2" w:rsidP="003B40F2">
      <w:pPr>
        <w:pStyle w:val="FootnoteText"/>
        <w:rPr>
          <w:rFonts w:ascii="Open Sans" w:hAnsi="Open Sans" w:cs="Open Sans"/>
          <w:sz w:val="18"/>
          <w:szCs w:val="18"/>
        </w:rPr>
      </w:pPr>
      <w:r w:rsidRPr="003B40F2">
        <w:rPr>
          <w:rStyle w:val="FootnoteReference"/>
          <w:rFonts w:ascii="Open Sans" w:hAnsi="Open Sans" w:cs="Open Sans"/>
          <w:sz w:val="18"/>
          <w:szCs w:val="18"/>
        </w:rPr>
        <w:footnoteRef/>
      </w:r>
      <w:r w:rsidRPr="003B40F2">
        <w:rPr>
          <w:rFonts w:ascii="Open Sans" w:hAnsi="Open Sans" w:cs="Open Sans"/>
          <w:sz w:val="18"/>
          <w:szCs w:val="18"/>
        </w:rPr>
        <w:t xml:space="preserve">See paragraphs 23-24 of </w:t>
      </w:r>
      <w:r w:rsidRPr="003B40F2">
        <w:rPr>
          <w:rFonts w:ascii="Open Sans" w:eastAsia="MS Mincho" w:hAnsi="Open Sans" w:cs="Open Sans"/>
          <w:color w:val="000000"/>
          <w:sz w:val="18"/>
          <w:szCs w:val="18"/>
        </w:rPr>
        <w:t>Commission Notice on the notion of State aid as referred to in Article 107(1) of the Treaty on the Functioning of the European Union (2016/C 262/01)</w:t>
      </w:r>
      <w:r w:rsidRPr="003B40F2">
        <w:rPr>
          <w:rFonts w:ascii="Open Sans" w:hAnsi="Open Sans" w:cs="Open Sans"/>
          <w:sz w:val="18"/>
          <w:szCs w:val="18"/>
        </w:rPr>
        <w:t xml:space="preserve">  https://eur-lex.europa.eu/legal-content/EN/TXT/PDF/?uri=CELEX:52016XC0719(05)&amp;from=EN</w:t>
      </w:r>
    </w:p>
  </w:footnote>
  <w:footnote w:id="2">
    <w:p w14:paraId="2CE1D2BB" w14:textId="77777777" w:rsidR="003B40F2" w:rsidRPr="00C41DD3" w:rsidRDefault="003B40F2" w:rsidP="003B40F2">
      <w:pPr>
        <w:pStyle w:val="FootnoteText"/>
      </w:pPr>
      <w:r w:rsidRPr="003B40F2">
        <w:rPr>
          <w:rStyle w:val="FootnoteReference"/>
          <w:rFonts w:ascii="Open Sans" w:hAnsi="Open Sans" w:cs="Open Sans"/>
          <w:sz w:val="18"/>
          <w:szCs w:val="18"/>
        </w:rPr>
        <w:footnoteRef/>
      </w:r>
      <w:r w:rsidRPr="003B40F2">
        <w:rPr>
          <w:rFonts w:ascii="Open Sans" w:hAnsi="Open Sans" w:cs="Open Sans"/>
          <w:sz w:val="18"/>
          <w:szCs w:val="18"/>
        </w:rPr>
        <w:t xml:space="preserve"> </w:t>
      </w:r>
      <w:r w:rsidRPr="003B40F2">
        <w:rPr>
          <w:rFonts w:ascii="Open Sans" w:hAnsi="Open Sans" w:cs="Open Sans"/>
          <w:sz w:val="18"/>
          <w:szCs w:val="18"/>
        </w:rPr>
        <w:t xml:space="preserve">See paragraphs 196 of </w:t>
      </w:r>
      <w:r w:rsidRPr="003B40F2">
        <w:rPr>
          <w:rFonts w:ascii="Open Sans" w:eastAsia="MS Mincho" w:hAnsi="Open Sans" w:cs="Open Sans"/>
          <w:color w:val="000000"/>
          <w:sz w:val="18"/>
          <w:szCs w:val="18"/>
        </w:rPr>
        <w:t xml:space="preserve">Commission Notice on the notion of State aid as referred to in Article 107(1) of the Treaty on the Functioning of the European Union (2016/C 262/01); </w:t>
      </w:r>
      <w:hyperlink r:id="rId1" w:history="1">
        <w:r w:rsidRPr="003B40F2">
          <w:rPr>
            <w:rStyle w:val="Hyperlink"/>
            <w:rFonts w:ascii="Open Sans" w:eastAsia="MS Mincho" w:hAnsi="Open Sans" w:cs="Open Sans"/>
            <w:sz w:val="18"/>
            <w:szCs w:val="18"/>
          </w:rPr>
          <w:t>http://eur-lex.europa.eu/legal-content/DE/TXT/?uri=CELEX:52016XC0719(05)</w:t>
        </w:r>
      </w:hyperlink>
    </w:p>
  </w:footnote>
  <w:footnote w:id="3">
    <w:p w14:paraId="7C9C6675" w14:textId="77777777" w:rsidR="003B40F2" w:rsidRPr="003B40F2" w:rsidRDefault="003B40F2" w:rsidP="003B40F2">
      <w:pPr>
        <w:pStyle w:val="FootnoteText"/>
        <w:rPr>
          <w:rFonts w:ascii="Open Sans" w:eastAsia="MS Mincho" w:hAnsi="Open Sans" w:cs="Open Sans"/>
          <w:color w:val="000000"/>
          <w:sz w:val="18"/>
          <w:szCs w:val="18"/>
        </w:rPr>
      </w:pPr>
      <w:r w:rsidRPr="003B40F2">
        <w:rPr>
          <w:rStyle w:val="FootnoteReference"/>
          <w:rFonts w:ascii="Open Sans" w:hAnsi="Open Sans" w:cs="Open Sans"/>
          <w:sz w:val="18"/>
          <w:szCs w:val="18"/>
        </w:rPr>
        <w:footnoteRef/>
      </w:r>
      <w:r w:rsidRPr="003B40F2">
        <w:rPr>
          <w:rFonts w:ascii="Open Sans" w:hAnsi="Open Sans" w:cs="Open Sans"/>
          <w:sz w:val="18"/>
          <w:szCs w:val="18"/>
        </w:rPr>
        <w:t xml:space="preserve"> </w:t>
      </w:r>
      <w:r w:rsidRPr="003B40F2">
        <w:rPr>
          <w:rFonts w:ascii="Open Sans" w:hAnsi="Open Sans" w:cs="Open Sans"/>
          <w:sz w:val="18"/>
          <w:szCs w:val="18"/>
        </w:rPr>
        <w:t xml:space="preserve">See paragraphs 33, 34, 36 and 37 of </w:t>
      </w:r>
      <w:r w:rsidRPr="003B40F2">
        <w:rPr>
          <w:rFonts w:ascii="Open Sans" w:eastAsia="MS Mincho" w:hAnsi="Open Sans" w:cs="Open Sans"/>
          <w:color w:val="000000"/>
          <w:sz w:val="18"/>
          <w:szCs w:val="18"/>
        </w:rPr>
        <w:t xml:space="preserve">Commission Notice on the notion of State aid as referred to in Article 107(1) of the Treaty on the Functioning of the European Union (2016/C 262/01); </w:t>
      </w:r>
      <w:hyperlink r:id="rId2" w:history="1">
        <w:r w:rsidRPr="003B40F2">
          <w:rPr>
            <w:rStyle w:val="Hyperlink"/>
            <w:rFonts w:ascii="Open Sans" w:eastAsia="MS Mincho" w:hAnsi="Open Sans" w:cs="Open Sans"/>
            <w:sz w:val="18"/>
            <w:szCs w:val="18"/>
          </w:rPr>
          <w:t>http://eur-lex.europa.eu/legal-content/DE/TXT/?uri=CELEX:52016XC0719(05)</w:t>
        </w:r>
      </w:hyperlink>
    </w:p>
  </w:footnote>
  <w:footnote w:id="4">
    <w:p w14:paraId="1713968F" w14:textId="77777777" w:rsidR="003B40F2" w:rsidRPr="003B40F2" w:rsidRDefault="003B40F2" w:rsidP="003B40F2">
      <w:pPr>
        <w:pStyle w:val="FootnoteText"/>
        <w:rPr>
          <w:rFonts w:cstheme="minorHAnsi"/>
          <w:sz w:val="18"/>
          <w:szCs w:val="18"/>
        </w:rPr>
      </w:pPr>
      <w:r w:rsidRPr="003B40F2">
        <w:rPr>
          <w:rStyle w:val="FootnoteReference"/>
          <w:rFonts w:ascii="Open Sans" w:hAnsi="Open Sans" w:cs="Open Sans"/>
          <w:sz w:val="18"/>
          <w:szCs w:val="18"/>
        </w:rPr>
        <w:footnoteRef/>
      </w:r>
      <w:r w:rsidRPr="003B40F2">
        <w:rPr>
          <w:rFonts w:ascii="Open Sans" w:hAnsi="Open Sans" w:cs="Open Sans"/>
          <w:sz w:val="18"/>
          <w:szCs w:val="18"/>
        </w:rPr>
        <w:t xml:space="preserve"> </w:t>
      </w:r>
      <w:r w:rsidRPr="003B40F2">
        <w:rPr>
          <w:rFonts w:ascii="Open Sans" w:hAnsi="Open Sans" w:cs="Open Sans"/>
          <w:sz w:val="18"/>
          <w:szCs w:val="18"/>
        </w:rPr>
        <w:t xml:space="preserve">See paragraphs 196 of </w:t>
      </w:r>
      <w:r w:rsidRPr="003B40F2">
        <w:rPr>
          <w:rFonts w:ascii="Open Sans" w:eastAsia="MS Mincho" w:hAnsi="Open Sans" w:cs="Open Sans"/>
          <w:color w:val="000000"/>
          <w:sz w:val="18"/>
          <w:szCs w:val="18"/>
        </w:rPr>
        <w:t xml:space="preserve">Commission Notice on the notion of State aid as referred to in Article 107(1) of the Treaty on the Functioning of the European Union (2016/C 262/01); </w:t>
      </w:r>
      <w:r w:rsidRPr="003B40F2">
        <w:rPr>
          <w:rStyle w:val="Hyperlink"/>
          <w:rFonts w:ascii="Open Sans" w:eastAsia="MS Mincho" w:hAnsi="Open Sans" w:cs="Open Sans"/>
          <w:sz w:val="18"/>
          <w:szCs w:val="18"/>
        </w:rPr>
        <w:t>https://eur-lex.europa.eu/legal-content/EN/TXT/PDF/?uri=CELEX:52016XC0719(05)&amp;from=EN</w:t>
      </w:r>
    </w:p>
  </w:footnote>
  <w:footnote w:id="5">
    <w:p w14:paraId="59EB5B28" w14:textId="5F147B9C" w:rsidR="003B40F2" w:rsidRPr="003B40F2" w:rsidRDefault="003B40F2" w:rsidP="007B36D0">
      <w:pPr>
        <w:pStyle w:val="FootnoteText"/>
        <w:rPr>
          <w:rFonts w:cstheme="minorHAnsi"/>
          <w:sz w:val="18"/>
          <w:szCs w:val="18"/>
        </w:rPr>
      </w:pPr>
      <w:r w:rsidRPr="003B40F2">
        <w:rPr>
          <w:rStyle w:val="FootnoteReference"/>
          <w:rFonts w:cstheme="minorHAnsi"/>
          <w:sz w:val="18"/>
          <w:szCs w:val="18"/>
        </w:rPr>
        <w:footnoteRef/>
      </w:r>
      <w:r w:rsidRPr="003B40F2">
        <w:rPr>
          <w:rFonts w:cstheme="minorHAnsi"/>
          <w:sz w:val="18"/>
          <w:szCs w:val="18"/>
        </w:rPr>
        <w:t xml:space="preserve"> </w:t>
      </w:r>
      <w:hyperlink r:id="rId3" w:history="1">
        <w:r w:rsidRPr="003B40F2">
          <w:rPr>
            <w:rFonts w:cstheme="minorHAnsi"/>
            <w:color w:val="0000FF"/>
            <w:sz w:val="18"/>
            <w:szCs w:val="18"/>
            <w:u w:val="single"/>
          </w:rPr>
          <w:t>grid_energy_en.pdf (europa.eu)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2F48D" w14:textId="77777777" w:rsidR="00C314B5" w:rsidRDefault="00C314B5" w:rsidP="00C314B5">
    <w:pPr>
      <w:pStyle w:val="Header"/>
      <w:tabs>
        <w:tab w:val="clear" w:pos="9026"/>
        <w:tab w:val="right" w:pos="9354"/>
      </w:tabs>
      <w:jc w:val="center"/>
    </w:pPr>
    <w:r>
      <w:rPr>
        <w:noProof/>
        <w:lang w:eastAsia="en-GB"/>
      </w:rPr>
      <w:drawing>
        <wp:inline distT="0" distB="0" distL="0" distR="0" wp14:anchorId="111CC5A7" wp14:editId="17D75809">
          <wp:extent cx="5939790" cy="686998"/>
          <wp:effectExtent l="0" t="0" r="3810" b="0"/>
          <wp:docPr id="6" name="Graphic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686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102AD5" w14:textId="77777777" w:rsidR="00C314B5" w:rsidRDefault="00C314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C694D"/>
    <w:multiLevelType w:val="hybridMultilevel"/>
    <w:tmpl w:val="0988F7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A65BE"/>
    <w:multiLevelType w:val="hybridMultilevel"/>
    <w:tmpl w:val="29D88E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759C2"/>
    <w:multiLevelType w:val="hybridMultilevel"/>
    <w:tmpl w:val="F01E5FD0"/>
    <w:lvl w:ilvl="0" w:tplc="4984CBC8">
      <w:start w:val="1"/>
      <w:numFmt w:val="lowerRoman"/>
      <w:lvlText w:val="%1)"/>
      <w:lvlJc w:val="left"/>
      <w:pPr>
        <w:ind w:left="720" w:hanging="360"/>
      </w:pPr>
      <w:rPr>
        <w:rFonts w:ascii="Open Sans" w:eastAsia="MS Mincho" w:hAnsi="Open Sans" w:cs="Open Sans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503857">
    <w:abstractNumId w:val="0"/>
  </w:num>
  <w:num w:numId="2" w16cid:durableId="1781416331">
    <w:abstractNumId w:val="1"/>
  </w:num>
  <w:num w:numId="3" w16cid:durableId="1008484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6D0"/>
    <w:rsid w:val="000A1D40"/>
    <w:rsid w:val="001C4E5B"/>
    <w:rsid w:val="002E0EAB"/>
    <w:rsid w:val="0034141F"/>
    <w:rsid w:val="003B40F2"/>
    <w:rsid w:val="00466F70"/>
    <w:rsid w:val="004E653B"/>
    <w:rsid w:val="004F399C"/>
    <w:rsid w:val="0050618F"/>
    <w:rsid w:val="0055238A"/>
    <w:rsid w:val="00601273"/>
    <w:rsid w:val="006A3A49"/>
    <w:rsid w:val="00701FF3"/>
    <w:rsid w:val="00711837"/>
    <w:rsid w:val="00721DF7"/>
    <w:rsid w:val="00730293"/>
    <w:rsid w:val="007B36D0"/>
    <w:rsid w:val="007F00D1"/>
    <w:rsid w:val="00805BAC"/>
    <w:rsid w:val="00826CCD"/>
    <w:rsid w:val="00893F9A"/>
    <w:rsid w:val="00930EAF"/>
    <w:rsid w:val="009D5126"/>
    <w:rsid w:val="00A03BB1"/>
    <w:rsid w:val="00B6423E"/>
    <w:rsid w:val="00B74092"/>
    <w:rsid w:val="00B749B7"/>
    <w:rsid w:val="00BA6A4C"/>
    <w:rsid w:val="00BB6254"/>
    <w:rsid w:val="00C314B5"/>
    <w:rsid w:val="00C76BF6"/>
    <w:rsid w:val="00D01955"/>
    <w:rsid w:val="00D90C86"/>
    <w:rsid w:val="00DF49E3"/>
    <w:rsid w:val="00E409AD"/>
    <w:rsid w:val="00EB49B7"/>
    <w:rsid w:val="00F85D9E"/>
    <w:rsid w:val="00FA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F2C5BE"/>
  <w15:chartTrackingRefBased/>
  <w15:docId w15:val="{BFF288A9-F36A-4E7D-9E93-D2ACBC36C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6D0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Char1 Char,Footnote Char1"/>
    <w:basedOn w:val="Normal"/>
    <w:link w:val="FootnoteTextChar"/>
    <w:uiPriority w:val="99"/>
    <w:unhideWhenUsed/>
    <w:rsid w:val="007B36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rsid w:val="007B36D0"/>
    <w:rPr>
      <w:sz w:val="20"/>
      <w:szCs w:val="20"/>
      <w:lang w:val="ro-RO"/>
    </w:rPr>
  </w:style>
  <w:style w:type="character" w:styleId="FootnoteReference">
    <w:name w:val="footnote reference"/>
    <w:aliases w:val="ESPON Footnote No"/>
    <w:basedOn w:val="DefaultParagraphFont"/>
    <w:uiPriority w:val="99"/>
    <w:unhideWhenUsed/>
    <w:rsid w:val="007B36D0"/>
    <w:rPr>
      <w:vertAlign w:val="superscript"/>
    </w:rPr>
  </w:style>
  <w:style w:type="paragraph" w:styleId="ListParagraph">
    <w:name w:val="List Paragraph"/>
    <w:basedOn w:val="Normal"/>
    <w:link w:val="ListParagraphChar"/>
    <w:uiPriority w:val="99"/>
    <w:qFormat/>
    <w:rsid w:val="007B36D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7B36D0"/>
    <w:rPr>
      <w:lang w:val="ro-RO"/>
    </w:rPr>
  </w:style>
  <w:style w:type="table" w:styleId="TableGrid">
    <w:name w:val="Table Grid"/>
    <w:basedOn w:val="TableNormal"/>
    <w:uiPriority w:val="39"/>
    <w:rsid w:val="007B3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7B36D0"/>
    <w:rPr>
      <w:color w:val="0000FF"/>
      <w:u w:val="single"/>
    </w:rPr>
  </w:style>
  <w:style w:type="character" w:customStyle="1" w:styleId="markpqf7ecm8c">
    <w:name w:val="markpqf7ecm8c"/>
    <w:basedOn w:val="DefaultParagraphFont"/>
    <w:rsid w:val="007B36D0"/>
  </w:style>
  <w:style w:type="paragraph" w:customStyle="1" w:styleId="Default">
    <w:name w:val="Default"/>
    <w:rsid w:val="007B36D0"/>
    <w:pPr>
      <w:autoSpaceDE w:val="0"/>
      <w:autoSpaceDN w:val="0"/>
      <w:adjustRightInd w:val="0"/>
      <w:spacing w:after="0" w:line="240" w:lineRule="auto"/>
    </w:pPr>
    <w:rPr>
      <w:rFonts w:ascii="Open Sans" w:eastAsia="MS Mincho" w:hAnsi="Open Sans" w:cs="Open Sans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90C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0C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0C86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C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C86"/>
    <w:rPr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6A3A49"/>
    <w:pPr>
      <w:spacing w:after="0" w:line="240" w:lineRule="auto"/>
    </w:pPr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C31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4B5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31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4B5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competition/state_aid/modernisation/grid_energy_en.pdf" TargetMode="External"/><Relationship Id="rId2" Type="http://schemas.openxmlformats.org/officeDocument/2006/relationships/hyperlink" Target="http://eur-lex.europa.eu/legal-content/DE/TXT/?uri=CELEX:52016XC0719(05)" TargetMode="External"/><Relationship Id="rId1" Type="http://schemas.openxmlformats.org/officeDocument/2006/relationships/hyperlink" Target="http://eur-lex.europa.eu/legal-content/DE/TXT/?uri=CELEX:52016XC0719(05)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FF90222DA6448468561DDB7B83BE7E8" ma:contentTypeVersion="16" ma:contentTypeDescription="Új dokumentum létrehozása." ma:contentTypeScope="" ma:versionID="7da795f2bfb5755411fe473588a5e2af">
  <xsd:schema xmlns:xsd="http://www.w3.org/2001/XMLSchema" xmlns:xs="http://www.w3.org/2001/XMLSchema" xmlns:p="http://schemas.microsoft.com/office/2006/metadata/properties" xmlns:ns2="1940cd41-423e-4583-be09-bdbce60086d5" xmlns:ns3="efc5b845-d0c4-494e-a142-96e51b5a5521" targetNamespace="http://schemas.microsoft.com/office/2006/metadata/properties" ma:root="true" ma:fieldsID="e6fbe202829b922b8dae2eb88f49ed5e" ns2:_="" ns3:_="">
    <xsd:import namespace="1940cd41-423e-4583-be09-bdbce60086d5"/>
    <xsd:import namespace="efc5b845-d0c4-494e-a142-96e51b5a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0cd41-423e-4583-be09-bdbce6008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épcímkék" ma:readOnly="false" ma:fieldId="{5cf76f15-5ced-4ddc-b409-7134ff3c332f}" ma:taxonomyMulti="true" ma:sspId="0ce0bf48-eb52-48a5-a101-67f9115812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5b845-d0c4-494e-a142-96e51b5a5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2f36c0-2662-4714-89e7-26d0111061ed}" ma:internalName="TaxCatchAll" ma:showField="CatchAllData" ma:web="efc5b845-d0c4-494e-a142-96e51b5a5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58EE27-A7B3-43BB-8040-6B4DEE8076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8C3294-CD33-43C3-877E-DBE5A5B49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0cd41-423e-4583-be09-bdbce60086d5"/>
    <ds:schemaRef ds:uri="efc5b845-d0c4-494e-a142-96e51b5a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925</Words>
  <Characters>5273</Characters>
  <Application>Microsoft Office Word</Application>
  <DocSecurity>0</DocSecurity>
  <Lines>43</Lines>
  <Paragraphs>12</Paragraphs>
  <ScaleCrop>false</ScaleCrop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ROHU</dc:creator>
  <cp:keywords/>
  <dc:description/>
  <cp:lastModifiedBy>ROHU</cp:lastModifiedBy>
  <cp:revision>3</cp:revision>
  <dcterms:created xsi:type="dcterms:W3CDTF">2023-02-15T12:39:00Z</dcterms:created>
  <dcterms:modified xsi:type="dcterms:W3CDTF">2023-02-16T08:43:00Z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2e54f4c9-f2bf-429b-823d-39096dd3db88</vt:lpwstr>
  </property>
</Properties>
</file>